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108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14934</w:t>
      </w:r>
    </w:p>
    <w:p>
      <w:pPr>
        <w:spacing w:after="120"/>
        <w:ind w:left="1985" w:hanging="1985"/>
        <w:outlineLvl w:val="0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Toulouse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France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2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2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5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, 2023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eastAsia="zh-CN"/>
        </w:rPr>
        <w:t>WF o</w:t>
      </w:r>
      <w:r>
        <w:rPr>
          <w:rFonts w:hint="eastAsia" w:ascii="Arial" w:hAnsi="Arial" w:cs="Arial"/>
          <w:sz w:val="22"/>
          <w:lang w:val="en-US" w:eastAsia="zh-CN"/>
        </w:rPr>
        <w:t>n UE RF requirements for NR NTN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8.28.6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 Corporation, Samsung</w:t>
      </w:r>
    </w:p>
    <w:p>
      <w:pPr>
        <w:tabs>
          <w:tab w:val="left" w:pos="1985"/>
        </w:tabs>
        <w:jc w:val="both"/>
        <w:rPr>
          <w:b/>
          <w:bCs/>
          <w:sz w:val="24"/>
          <w:szCs w:val="16"/>
          <w:lang w:val="en-US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  <w:highlight w:val="none"/>
          <w:lang w:val="en-US"/>
        </w:rPr>
        <w:t xml:space="preserve">Sub-topic </w:t>
      </w:r>
      <w:r>
        <w:rPr>
          <w:rFonts w:hint="eastAsia"/>
          <w:sz w:val="28"/>
          <w:szCs w:val="28"/>
          <w:highlight w:val="none"/>
          <w:lang w:val="en-US"/>
        </w:rPr>
        <w:t>1  UE types and antenna assumption for NTN UE</w:t>
      </w:r>
    </w:p>
    <w:p>
      <w:pPr>
        <w:rPr>
          <w:b/>
          <w:bCs/>
          <w:sz w:val="22"/>
          <w:szCs w:val="22"/>
          <w:highlight w:val="none"/>
          <w:lang w:eastAsia="zh-CN"/>
        </w:rPr>
      </w:pPr>
      <w:r>
        <w:rPr>
          <w:rFonts w:hint="eastAsia"/>
          <w:b/>
          <w:bCs/>
          <w:sz w:val="22"/>
          <w:szCs w:val="22"/>
          <w:highlight w:val="none"/>
          <w:lang w:eastAsia="zh-CN"/>
        </w:rPr>
        <w:t>Issue 1-1: Differentiate UE types from mobility perspective</w:t>
      </w:r>
    </w:p>
    <w:p>
      <w:pPr>
        <w:pStyle w:val="73"/>
        <w:ind w:firstLine="400"/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Agreement:</w:t>
      </w:r>
    </w:p>
    <w:p>
      <w:pPr>
        <w:pStyle w:val="73"/>
        <w:numPr>
          <w:ilvl w:val="0"/>
          <w:numId w:val="2"/>
        </w:numPr>
        <w:ind w:firstLine="400"/>
        <w:rPr>
          <w:rFonts w:eastAsiaTheme="minorEastAsia"/>
          <w:highlight w:val="none"/>
        </w:rPr>
      </w:pPr>
      <w:r>
        <w:rPr>
          <w:iCs/>
          <w:highlight w:val="none"/>
        </w:rPr>
        <w:t xml:space="preserve">Define two set of requirement for fixed and mobile VSAT </w:t>
      </w:r>
    </w:p>
    <w:p>
      <w:pPr>
        <w:pStyle w:val="73"/>
        <w:numPr>
          <w:ilvl w:val="1"/>
          <w:numId w:val="2"/>
        </w:numPr>
        <w:spacing w:line="259" w:lineRule="auto"/>
        <w:rPr>
          <w:rFonts w:eastAsiaTheme="minorEastAsia"/>
          <w:color w:val="auto"/>
          <w:highlight w:val="none"/>
        </w:rPr>
      </w:pPr>
      <w:r>
        <w:rPr>
          <w:rFonts w:eastAsiaTheme="minorEastAsia"/>
          <w:color w:val="auto"/>
          <w:highlight w:val="none"/>
        </w:rPr>
        <w:t>Differentiate the electronic and mechanical steering</w:t>
      </w:r>
      <w:r>
        <w:rPr>
          <w:rFonts w:hint="eastAsia" w:eastAsiaTheme="minorEastAsia"/>
          <w:color w:val="auto"/>
          <w:highlight w:val="none"/>
          <w:lang w:val="en-US" w:eastAsia="zh-CN"/>
        </w:rPr>
        <w:t xml:space="preserve"> for</w:t>
      </w:r>
      <w:r>
        <w:rPr>
          <w:rFonts w:eastAsiaTheme="minorEastAsia"/>
          <w:color w:val="auto"/>
          <w:highlight w:val="none"/>
        </w:rPr>
        <w:t xml:space="preserve"> both fixed and mobile VSAT</w:t>
      </w:r>
    </w:p>
    <w:p>
      <w:pPr>
        <w:pStyle w:val="73"/>
        <w:numPr>
          <w:ilvl w:val="1"/>
          <w:numId w:val="2"/>
        </w:numPr>
        <w:ind w:firstLine="400"/>
        <w:rPr>
          <w:rFonts w:eastAsiaTheme="minorEastAsia"/>
          <w:highlight w:val="none"/>
        </w:rPr>
      </w:pPr>
      <w:r>
        <w:rPr>
          <w:iCs/>
          <w:highlight w:val="none"/>
        </w:rPr>
        <w:t>Strive to minimize the number of different requirements.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Issue 1-2: Phase antenna array</w:t>
      </w:r>
    </w:p>
    <w:p>
      <w:pPr>
        <w:pStyle w:val="73"/>
        <w:ind w:firstLine="400"/>
        <w:rPr>
          <w:rFonts w:hint="eastAsia" w:eastAsia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FFS</w:t>
      </w:r>
      <w:bookmarkStart w:id="0" w:name="_GoBack"/>
      <w:bookmarkEnd w:id="0"/>
    </w:p>
    <w:p>
      <w:pPr>
        <w:pStyle w:val="2"/>
        <w:rPr>
          <w:b/>
          <w:bCs/>
          <w:sz w:val="22"/>
          <w:szCs w:val="22"/>
          <w:highlight w:val="none"/>
          <w:lang w:val="en-US" w:eastAsia="zh-CN"/>
        </w:rPr>
      </w:pPr>
      <w:r>
        <w:rPr>
          <w:sz w:val="28"/>
          <w:szCs w:val="28"/>
          <w:highlight w:val="none"/>
          <w:lang w:val="en-US"/>
        </w:rPr>
        <w:t xml:space="preserve">Sub-topic </w:t>
      </w:r>
      <w:r>
        <w:rPr>
          <w:rFonts w:hint="eastAsia"/>
          <w:sz w:val="28"/>
          <w:szCs w:val="28"/>
          <w:highlight w:val="none"/>
          <w:lang w:val="en-US"/>
        </w:rPr>
        <w:t>2  Noise figure for NTN UE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 xml:space="preserve">Issue 2-1:  Noise figure </w:t>
      </w:r>
    </w:p>
    <w:p>
      <w:pPr>
        <w:pStyle w:val="73"/>
        <w:ind w:firstLine="400"/>
        <w:rPr>
          <w:highlight w:val="none"/>
        </w:rPr>
      </w:pPr>
      <w:r>
        <w:rPr>
          <w:highlight w:val="none"/>
        </w:rPr>
        <w:t>Agreement:</w:t>
      </w:r>
    </w:p>
    <w:p>
      <w:pPr>
        <w:pStyle w:val="73"/>
        <w:numPr>
          <w:ilvl w:val="0"/>
          <w:numId w:val="3"/>
        </w:numPr>
        <w:ind w:firstLine="400"/>
        <w:rPr>
          <w:highlight w:val="none"/>
        </w:rPr>
      </w:pPr>
      <w:r>
        <w:rPr>
          <w:highlight w:val="none"/>
        </w:rPr>
        <w:t xml:space="preserve">Define two sets of requirements </w:t>
      </w:r>
    </w:p>
    <w:p>
      <w:pPr>
        <w:pStyle w:val="73"/>
        <w:numPr>
          <w:ilvl w:val="1"/>
          <w:numId w:val="3"/>
        </w:numPr>
        <w:ind w:firstLine="400"/>
        <w:rPr>
          <w:highlight w:val="none"/>
        </w:rPr>
      </w:pPr>
      <w:r>
        <w:rPr>
          <w:rFonts w:hint="eastAsia"/>
          <w:highlight w:val="none"/>
        </w:rPr>
        <w:t>Two set</w:t>
      </w:r>
      <w:r>
        <w:rPr>
          <w:highlight w:val="none"/>
        </w:rPr>
        <w:t>s</w:t>
      </w:r>
      <w:r>
        <w:rPr>
          <w:rFonts w:hint="eastAsia"/>
          <w:highlight w:val="none"/>
        </w:rPr>
        <w:t xml:space="preserve"> of noise figures</w:t>
      </w:r>
    </w:p>
    <w:p>
      <w:pPr>
        <w:pStyle w:val="73"/>
        <w:numPr>
          <w:ilvl w:val="2"/>
          <w:numId w:val="3"/>
        </w:numPr>
        <w:ind w:firstLine="400"/>
        <w:rPr>
          <w:highlight w:val="none"/>
        </w:rPr>
      </w:pPr>
      <w:r>
        <w:rPr>
          <w:highlight w:val="none"/>
        </w:rPr>
        <w:t>Set #1: 2.5dB for LEO and GEO</w:t>
      </w:r>
    </w:p>
    <w:p>
      <w:pPr>
        <w:pStyle w:val="73"/>
        <w:numPr>
          <w:ilvl w:val="2"/>
          <w:numId w:val="3"/>
        </w:numPr>
        <w:ind w:firstLine="400"/>
        <w:rPr>
          <w:highlight w:val="none"/>
        </w:rPr>
      </w:pPr>
      <w:r>
        <w:rPr>
          <w:highlight w:val="none"/>
        </w:rPr>
        <w:t>Set #2: 6dB only for LEO</w:t>
      </w:r>
    </w:p>
    <w:p>
      <w:pPr>
        <w:pStyle w:val="73"/>
        <w:numPr>
          <w:ilvl w:val="1"/>
          <w:numId w:val="3"/>
        </w:numPr>
        <w:ind w:firstLine="400"/>
        <w:rPr>
          <w:b/>
          <w:bCs/>
          <w:sz w:val="22"/>
          <w:szCs w:val="22"/>
          <w:highlight w:val="none"/>
          <w:lang w:val="en-US" w:eastAsia="zh-CN"/>
        </w:rPr>
      </w:pPr>
      <w:r>
        <w:rPr>
          <w:highlight w:val="none"/>
        </w:rPr>
        <w:t>[Apply to test based on UE declaration for G/T which is used to derive EIS requirements].</w:t>
      </w:r>
    </w:p>
    <w:p>
      <w:pPr>
        <w:pStyle w:val="2"/>
        <w:rPr>
          <w:sz w:val="28"/>
          <w:szCs w:val="28"/>
          <w:highlight w:val="none"/>
          <w:lang w:val="en-US"/>
        </w:rPr>
      </w:pPr>
      <w:r>
        <w:rPr>
          <w:rFonts w:hint="eastAsia"/>
          <w:sz w:val="28"/>
          <w:szCs w:val="28"/>
          <w:highlight w:val="none"/>
          <w:lang w:val="en-US"/>
        </w:rPr>
        <w:t>Sub-topic 3  RF requirements for NTN UE in Ka-band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b/>
          <w:bCs/>
          <w:sz w:val="22"/>
          <w:szCs w:val="22"/>
          <w:highlight w:val="none"/>
          <w:lang w:val="en-US" w:eastAsia="ko-KR"/>
        </w:rPr>
        <w:t xml:space="preserve">Issue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3-1: Beam pointing/accuracy related requirements</w:t>
      </w:r>
    </w:p>
    <w:p>
      <w:pPr>
        <w:pStyle w:val="73"/>
        <w:ind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Agreement:</w:t>
      </w:r>
    </w:p>
    <w:p>
      <w:pPr>
        <w:pStyle w:val="73"/>
        <w:ind w:left="200" w:leftChars="100"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For mobile VSAT</w:t>
      </w:r>
    </w:p>
    <w:p>
      <w:pPr>
        <w:pStyle w:val="73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highlight w:val="none"/>
          <w:lang w:eastAsia="fr-FR"/>
        </w:rPr>
      </w:pPr>
      <w:r>
        <w:rPr>
          <w:rFonts w:hint="eastAsia" w:eastAsia="宋体"/>
          <w:highlight w:val="none"/>
          <w:lang w:eastAsia="fr-FR"/>
        </w:rPr>
        <w:t>RAN4 to specify NTN UE VSAT pointing accuracy based on manufacturer declaration. RAN4 to reuse the explanation from EN 303 978: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p>
      <w:pPr>
        <w:ind w:left="1600" w:leftChars="800"/>
        <w:rPr>
          <w:sz w:val="18"/>
          <w:szCs w:val="24"/>
          <w:highlight w:val="none"/>
        </w:rPr>
      </w:pPr>
      <w:r>
        <w:rPr>
          <w:sz w:val="18"/>
          <w:szCs w:val="24"/>
          <w:highlight w:val="none"/>
        </w:rPr>
        <w:t>“The applicant shall declare the peak pointing accuracy (</w:t>
      </w:r>
      <w:r>
        <w:rPr>
          <w:sz w:val="18"/>
          <w:szCs w:val="24"/>
          <w:highlight w:val="none"/>
        </w:rPr>
        <w:sym w:font="Symbol" w:char="F064"/>
      </w:r>
      <w:r>
        <w:rPr>
          <w:sz w:val="18"/>
          <w:szCs w:val="24"/>
          <w:highlight w:val="none"/>
        </w:rPr>
        <w:sym w:font="Symbol" w:char="F066"/>
      </w:r>
      <w:r>
        <w:rPr>
          <w:sz w:val="18"/>
          <w:szCs w:val="24"/>
          <w:highlight w:val="none"/>
        </w:rPr>
        <w:t>) and the associated statistical basis.</w:t>
      </w:r>
    </w:p>
    <w:p>
      <w:pPr>
        <w:keepNext/>
        <w:ind w:left="1600" w:leftChars="800"/>
        <w:rPr>
          <w:sz w:val="18"/>
          <w:szCs w:val="24"/>
          <w:highlight w:val="none"/>
        </w:rPr>
      </w:pPr>
      <w:r>
        <w:rPr>
          <w:sz w:val="18"/>
          <w:szCs w:val="24"/>
          <w:highlight w:val="none"/>
        </w:rPr>
        <w:t>The antenna shall maintain the declared peak pointing accuracy (</w:t>
      </w:r>
      <w:r>
        <w:rPr>
          <w:sz w:val="18"/>
          <w:szCs w:val="24"/>
          <w:highlight w:val="none"/>
        </w:rPr>
        <w:sym w:font="Symbol" w:char="F064"/>
      </w:r>
      <w:r>
        <w:rPr>
          <w:sz w:val="18"/>
          <w:szCs w:val="24"/>
          <w:highlight w:val="none"/>
        </w:rPr>
        <w:sym w:font="Symbol" w:char="F066"/>
      </w:r>
      <w:r>
        <w:rPr>
          <w:sz w:val="18"/>
          <w:szCs w:val="24"/>
          <w:highlight w:val="none"/>
        </w:rPr>
        <w:t>), such that the off-axis EIRP emission density pattern projected onto the geostationary arc remains within the mask specified in clause [Total EIRP density specification] when shifted by an angle of ±(</w:t>
      </w:r>
      <w:r>
        <w:rPr>
          <w:sz w:val="18"/>
          <w:szCs w:val="24"/>
          <w:highlight w:val="none"/>
        </w:rPr>
        <w:sym w:font="Symbol" w:char="F064"/>
      </w:r>
      <w:r>
        <w:rPr>
          <w:sz w:val="18"/>
          <w:szCs w:val="24"/>
          <w:highlight w:val="none"/>
        </w:rPr>
        <w:sym w:font="Symbol" w:char="F066"/>
      </w:r>
      <w:r>
        <w:rPr>
          <w:sz w:val="18"/>
          <w:szCs w:val="24"/>
          <w:highlight w:val="none"/>
        </w:rPr>
        <w:t>°), taking into account the following factors:</w:t>
      </w:r>
    </w:p>
    <w:p>
      <w:pPr>
        <w:pStyle w:val="104"/>
        <w:spacing w:line="240" w:lineRule="auto"/>
        <w:ind w:left="1884" w:leftChars="800"/>
        <w:rPr>
          <w:sz w:val="18"/>
          <w:szCs w:val="24"/>
          <w:highlight w:val="none"/>
        </w:rPr>
      </w:pPr>
      <w:r>
        <w:rPr>
          <w:sz w:val="18"/>
          <w:szCs w:val="24"/>
          <w:highlight w:val="none"/>
        </w:rPr>
        <w:t>the worst case operational environmental conditions;</w:t>
      </w:r>
    </w:p>
    <w:p>
      <w:pPr>
        <w:pStyle w:val="104"/>
        <w:spacing w:line="240" w:lineRule="auto"/>
        <w:ind w:left="1884" w:leftChars="800"/>
        <w:rPr>
          <w:sz w:val="18"/>
          <w:szCs w:val="24"/>
          <w:highlight w:val="none"/>
        </w:rPr>
      </w:pPr>
      <w:r>
        <w:rPr>
          <w:sz w:val="18"/>
          <w:szCs w:val="24"/>
          <w:highlight w:val="none"/>
        </w:rPr>
        <w:t>maximum ESOMP dynamics; and</w:t>
      </w:r>
    </w:p>
    <w:p>
      <w:pPr>
        <w:pStyle w:val="104"/>
        <w:spacing w:line="240" w:lineRule="auto"/>
        <w:ind w:left="1884" w:leftChars="800"/>
        <w:rPr>
          <w:sz w:val="18"/>
          <w:szCs w:val="24"/>
          <w:highlight w:val="none"/>
        </w:rPr>
      </w:pPr>
      <w:r>
        <w:rPr>
          <w:sz w:val="18"/>
          <w:szCs w:val="24"/>
          <w:highlight w:val="none"/>
        </w:rPr>
        <w:t>the range of latitude, longitude and altitude relative to the satellite orbital position.”</w:t>
      </w:r>
    </w:p>
    <w:p>
      <w:pPr>
        <w:pStyle w:val="73"/>
        <w:ind w:left="200" w:leftChars="100" w:firstLine="400"/>
        <w:rPr>
          <w:highlight w:val="none"/>
          <w:lang w:val="en-US" w:eastAsia="fr-FR"/>
        </w:rPr>
      </w:pPr>
      <w:r>
        <w:rPr>
          <w:rFonts w:hint="eastAsia"/>
          <w:highlight w:val="none"/>
          <w:lang w:val="en-US" w:eastAsia="zh-CN"/>
        </w:rPr>
        <w:t>For fixed VSAT</w:t>
      </w:r>
    </w:p>
    <w:p>
      <w:pPr>
        <w:pStyle w:val="73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highlight w:val="none"/>
          <w:lang w:eastAsia="fr-FR"/>
        </w:rPr>
      </w:pPr>
      <w:r>
        <w:rPr>
          <w:rFonts w:hint="eastAsia" w:eastAsia="宋体"/>
          <w:highlight w:val="none"/>
          <w:lang w:eastAsia="fr-FR"/>
        </w:rPr>
        <w:t>Proposal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eastAsia="fr-FR"/>
        </w:rPr>
        <w:t>3: RAN4 should specify antenna accuracy requirement for fixed VSAT, based on ETSI EN 301 360.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</w:p>
    <w:p>
      <w:pPr>
        <w:rPr>
          <w:b/>
          <w:bCs/>
          <w:sz w:val="22"/>
          <w:szCs w:val="22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1AAC"/>
    <w:multiLevelType w:val="multilevel"/>
    <w:tmpl w:val="0A951AA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0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6E25561B"/>
    <w:multiLevelType w:val="multilevel"/>
    <w:tmpl w:val="6E25561B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linkStyles/>
  <w:attachedTemplate r:id="rId1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FE9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27AEB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3F3"/>
    <w:rsid w:val="00430784"/>
    <w:rsid w:val="004310AB"/>
    <w:rsid w:val="004319C2"/>
    <w:rsid w:val="00431F7A"/>
    <w:rsid w:val="00432764"/>
    <w:rsid w:val="00433050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4CF0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C72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402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9B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5BA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4A4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9B8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452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41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231384"/>
    <w:rsid w:val="015F1E8A"/>
    <w:rsid w:val="02DF0D72"/>
    <w:rsid w:val="03872BB5"/>
    <w:rsid w:val="04944F3C"/>
    <w:rsid w:val="04F87246"/>
    <w:rsid w:val="056D3392"/>
    <w:rsid w:val="05B37309"/>
    <w:rsid w:val="08590844"/>
    <w:rsid w:val="088239B7"/>
    <w:rsid w:val="09992A92"/>
    <w:rsid w:val="09C55F39"/>
    <w:rsid w:val="09F01F7B"/>
    <w:rsid w:val="0A0D0EE8"/>
    <w:rsid w:val="0A143EB0"/>
    <w:rsid w:val="0B83519A"/>
    <w:rsid w:val="0C91771F"/>
    <w:rsid w:val="0D625184"/>
    <w:rsid w:val="10835E82"/>
    <w:rsid w:val="117774BC"/>
    <w:rsid w:val="128E206D"/>
    <w:rsid w:val="13B208E2"/>
    <w:rsid w:val="140F4A2D"/>
    <w:rsid w:val="142211B8"/>
    <w:rsid w:val="15247167"/>
    <w:rsid w:val="15861B73"/>
    <w:rsid w:val="16A468FB"/>
    <w:rsid w:val="16BA445A"/>
    <w:rsid w:val="16BD6710"/>
    <w:rsid w:val="176F76B1"/>
    <w:rsid w:val="18B85C6A"/>
    <w:rsid w:val="190C3476"/>
    <w:rsid w:val="1A3B54F6"/>
    <w:rsid w:val="1A6F1319"/>
    <w:rsid w:val="1C114FCE"/>
    <w:rsid w:val="1D7227CD"/>
    <w:rsid w:val="1DD31F09"/>
    <w:rsid w:val="1FB63711"/>
    <w:rsid w:val="20A16ADA"/>
    <w:rsid w:val="21E67501"/>
    <w:rsid w:val="22C60A6F"/>
    <w:rsid w:val="23653CB4"/>
    <w:rsid w:val="239F0429"/>
    <w:rsid w:val="24B604BF"/>
    <w:rsid w:val="273F26B0"/>
    <w:rsid w:val="2986691A"/>
    <w:rsid w:val="2D9E219D"/>
    <w:rsid w:val="2DEE5437"/>
    <w:rsid w:val="2FB51345"/>
    <w:rsid w:val="30DE310F"/>
    <w:rsid w:val="326921A3"/>
    <w:rsid w:val="32DE0FE7"/>
    <w:rsid w:val="330C33AF"/>
    <w:rsid w:val="34F446F5"/>
    <w:rsid w:val="35037086"/>
    <w:rsid w:val="37CE0C1F"/>
    <w:rsid w:val="393D3E8C"/>
    <w:rsid w:val="3A3A6BC5"/>
    <w:rsid w:val="3ADC062C"/>
    <w:rsid w:val="3B660A11"/>
    <w:rsid w:val="3C9D2187"/>
    <w:rsid w:val="3D2C3C8C"/>
    <w:rsid w:val="3D335D01"/>
    <w:rsid w:val="3E441435"/>
    <w:rsid w:val="407C3634"/>
    <w:rsid w:val="41A22C86"/>
    <w:rsid w:val="42355A33"/>
    <w:rsid w:val="43300DC7"/>
    <w:rsid w:val="45263017"/>
    <w:rsid w:val="45515097"/>
    <w:rsid w:val="47A67DB7"/>
    <w:rsid w:val="48FB2E25"/>
    <w:rsid w:val="49251B7B"/>
    <w:rsid w:val="497A7B61"/>
    <w:rsid w:val="49E310C9"/>
    <w:rsid w:val="4A43765E"/>
    <w:rsid w:val="4B0E5A0B"/>
    <w:rsid w:val="4D4477E4"/>
    <w:rsid w:val="4F526A47"/>
    <w:rsid w:val="4FAE26EB"/>
    <w:rsid w:val="4FC22FB2"/>
    <w:rsid w:val="50035BDD"/>
    <w:rsid w:val="50C6633D"/>
    <w:rsid w:val="51F92CB0"/>
    <w:rsid w:val="524C2EDE"/>
    <w:rsid w:val="52902333"/>
    <w:rsid w:val="52DB1C7B"/>
    <w:rsid w:val="554E4897"/>
    <w:rsid w:val="55FE73AD"/>
    <w:rsid w:val="562C02E9"/>
    <w:rsid w:val="589F152D"/>
    <w:rsid w:val="59312314"/>
    <w:rsid w:val="59D71CBD"/>
    <w:rsid w:val="5A6B7DE9"/>
    <w:rsid w:val="5C292807"/>
    <w:rsid w:val="5E772309"/>
    <w:rsid w:val="5E85713C"/>
    <w:rsid w:val="5FBD3C5C"/>
    <w:rsid w:val="5FF9365C"/>
    <w:rsid w:val="60E172BA"/>
    <w:rsid w:val="61811054"/>
    <w:rsid w:val="619471E6"/>
    <w:rsid w:val="61A6793E"/>
    <w:rsid w:val="626E5943"/>
    <w:rsid w:val="62DC14BD"/>
    <w:rsid w:val="639C3276"/>
    <w:rsid w:val="63C9158E"/>
    <w:rsid w:val="647B3689"/>
    <w:rsid w:val="6607389A"/>
    <w:rsid w:val="66300A03"/>
    <w:rsid w:val="67591E1E"/>
    <w:rsid w:val="685C1C44"/>
    <w:rsid w:val="69AC5C52"/>
    <w:rsid w:val="6CC6613D"/>
    <w:rsid w:val="6CFC18AB"/>
    <w:rsid w:val="6F6F2180"/>
    <w:rsid w:val="71FA311B"/>
    <w:rsid w:val="732A6245"/>
    <w:rsid w:val="74657A7D"/>
    <w:rsid w:val="74D97074"/>
    <w:rsid w:val="75817214"/>
    <w:rsid w:val="76625156"/>
    <w:rsid w:val="768D72E2"/>
    <w:rsid w:val="76ED3EB9"/>
    <w:rsid w:val="773F6604"/>
    <w:rsid w:val="77B04C2E"/>
    <w:rsid w:val="79705690"/>
    <w:rsid w:val="7D0F5134"/>
    <w:rsid w:val="7D2216E4"/>
    <w:rsid w:val="7E21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basedOn w:val="1"/>
    <w:next w:val="1"/>
    <w:link w:val="49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1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semiHidden/>
    <w:unhideWhenUsed/>
    <w:qFormat/>
    <w:uiPriority w:val="99"/>
  </w:style>
  <w:style w:type="paragraph" w:styleId="31">
    <w:name w:val="List Bullet 5"/>
    <w:basedOn w:val="24"/>
    <w:semiHidden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Date"/>
    <w:basedOn w:val="1"/>
    <w:next w:val="1"/>
    <w:link w:val="72"/>
    <w:semiHidden/>
    <w:unhideWhenUsed/>
    <w:qFormat/>
    <w:uiPriority w:val="99"/>
    <w:pPr>
      <w:ind w:left="100" w:leftChars="2500"/>
    </w:pPr>
  </w:style>
  <w:style w:type="paragraph" w:styleId="34">
    <w:name w:val="Balloon Text"/>
    <w:basedOn w:val="1"/>
    <w:link w:val="62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5">
    <w:name w:val="footer"/>
    <w:basedOn w:val="36"/>
    <w:link w:val="71"/>
    <w:qFormat/>
    <w:uiPriority w:val="0"/>
    <w:pPr>
      <w:jc w:val="center"/>
    </w:pPr>
    <w:rPr>
      <w:i/>
    </w:rPr>
  </w:style>
  <w:style w:type="paragraph" w:styleId="36">
    <w:name w:val="header"/>
    <w:link w:val="70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link w:val="7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semiHidden/>
    <w:qFormat/>
    <w:uiPriority w:val="0"/>
    <w:pPr>
      <w:ind w:left="1702"/>
    </w:pPr>
  </w:style>
  <w:style w:type="paragraph" w:styleId="39">
    <w:name w:val="List 4"/>
    <w:basedOn w:val="12"/>
    <w:semiHidden/>
    <w:qFormat/>
    <w:uiPriority w:val="0"/>
    <w:pPr>
      <w:ind w:left="1418"/>
    </w:p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table" w:styleId="45">
    <w:name w:val="Table Grid"/>
    <w:basedOn w:val="4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annotation reference"/>
    <w:basedOn w:val="46"/>
    <w:semiHidden/>
    <w:unhideWhenUsed/>
    <w:qFormat/>
    <w:uiPriority w:val="99"/>
    <w:rPr>
      <w:sz w:val="16"/>
      <w:szCs w:val="16"/>
    </w:rPr>
  </w:style>
  <w:style w:type="character" w:styleId="48">
    <w:name w:val="footnote reference"/>
    <w:basedOn w:val="46"/>
    <w:semiHidden/>
    <w:qFormat/>
    <w:uiPriority w:val="0"/>
    <w:rPr>
      <w:b/>
      <w:position w:val="6"/>
      <w:sz w:val="16"/>
    </w:rPr>
  </w:style>
  <w:style w:type="character" w:customStyle="1" w:styleId="49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50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51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52">
    <w:name w:val="标题 4 字符"/>
    <w:link w:val="5"/>
    <w:qFormat/>
    <w:uiPriority w:val="0"/>
    <w:rPr>
      <w:rFonts w:ascii="Arial" w:hAnsi="Arial" w:eastAsia="Times New Roman"/>
      <w:sz w:val="24"/>
    </w:rPr>
  </w:style>
  <w:style w:type="character" w:customStyle="1" w:styleId="53">
    <w:name w:val="标题 5 字符"/>
    <w:link w:val="6"/>
    <w:qFormat/>
    <w:uiPriority w:val="0"/>
    <w:rPr>
      <w:rFonts w:ascii="Arial" w:hAnsi="Arial" w:eastAsia="Times New Roman"/>
      <w:sz w:val="22"/>
    </w:rPr>
  </w:style>
  <w:style w:type="character" w:customStyle="1" w:styleId="54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55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56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57">
    <w:name w:val="标题 9 字符"/>
    <w:link w:val="11"/>
    <w:qFormat/>
    <w:uiPriority w:val="0"/>
    <w:rPr>
      <w:rFonts w:ascii="Arial" w:hAnsi="Arial" w:eastAsia="Times New Roman"/>
      <w:sz w:val="36"/>
    </w:rPr>
  </w:style>
  <w:style w:type="paragraph" w:customStyle="1" w:styleId="58">
    <w:name w:val="TAC"/>
    <w:basedOn w:val="59"/>
    <w:link w:val="60"/>
    <w:qFormat/>
    <w:uiPriority w:val="0"/>
    <w:pPr>
      <w:jc w:val="center"/>
    </w:pPr>
  </w:style>
  <w:style w:type="paragraph" w:customStyle="1" w:styleId="59">
    <w:name w:val="TAL"/>
    <w:basedOn w:val="1"/>
    <w:link w:val="6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0">
    <w:name w:val="TAC Char"/>
    <w:link w:val="58"/>
    <w:qFormat/>
    <w:uiPriority w:val="0"/>
    <w:rPr>
      <w:rFonts w:ascii="Arial" w:hAnsi="Arial" w:eastAsia="Times New Roman"/>
      <w:sz w:val="18"/>
    </w:rPr>
  </w:style>
  <w:style w:type="character" w:customStyle="1" w:styleId="61">
    <w:name w:val="文档结构图 字符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2">
    <w:name w:val="批注框文本 字符"/>
    <w:link w:val="34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3">
    <w:name w:val="TAL Car"/>
    <w:link w:val="59"/>
    <w:qFormat/>
    <w:locked/>
    <w:uiPriority w:val="0"/>
    <w:rPr>
      <w:rFonts w:ascii="Arial" w:hAnsi="Arial" w:eastAsia="Times New Roman"/>
      <w:sz w:val="18"/>
    </w:rPr>
  </w:style>
  <w:style w:type="paragraph" w:customStyle="1" w:styleId="64">
    <w:name w:val="TAH"/>
    <w:basedOn w:val="58"/>
    <w:link w:val="68"/>
    <w:qFormat/>
    <w:uiPriority w:val="0"/>
    <w:rPr>
      <w:b/>
    </w:rPr>
  </w:style>
  <w:style w:type="character" w:customStyle="1" w:styleId="65">
    <w:name w:val="TH Char"/>
    <w:link w:val="66"/>
    <w:qFormat/>
    <w:locked/>
    <w:uiPriority w:val="0"/>
    <w:rPr>
      <w:rFonts w:ascii="Arial" w:hAnsi="Arial" w:eastAsia="Times New Roman"/>
      <w:b/>
    </w:rPr>
  </w:style>
  <w:style w:type="paragraph" w:customStyle="1" w:styleId="66">
    <w:name w:val="TH"/>
    <w:basedOn w:val="1"/>
    <w:link w:val="6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TAN"/>
    <w:basedOn w:val="59"/>
    <w:link w:val="69"/>
    <w:qFormat/>
    <w:uiPriority w:val="0"/>
    <w:pPr>
      <w:ind w:left="851" w:hanging="851"/>
    </w:pPr>
  </w:style>
  <w:style w:type="character" w:customStyle="1" w:styleId="68">
    <w:name w:val="TAH Car"/>
    <w:link w:val="64"/>
    <w:qFormat/>
    <w:uiPriority w:val="0"/>
    <w:rPr>
      <w:rFonts w:ascii="Arial" w:hAnsi="Arial" w:eastAsia="Times New Roman"/>
      <w:b/>
      <w:sz w:val="18"/>
    </w:rPr>
  </w:style>
  <w:style w:type="character" w:customStyle="1" w:styleId="69">
    <w:name w:val="TAN Char"/>
    <w:link w:val="67"/>
    <w:qFormat/>
    <w:uiPriority w:val="0"/>
    <w:rPr>
      <w:rFonts w:ascii="Arial" w:hAnsi="Arial" w:eastAsia="Times New Roman"/>
      <w:sz w:val="18"/>
    </w:rPr>
  </w:style>
  <w:style w:type="character" w:customStyle="1" w:styleId="70">
    <w:name w:val="页眉 字符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71">
    <w:name w:val="页脚 字符"/>
    <w:link w:val="35"/>
    <w:qFormat/>
    <w:uiPriority w:val="0"/>
    <w:rPr>
      <w:rFonts w:ascii="Arial" w:hAnsi="Arial" w:eastAsia="Times New Roman"/>
      <w:b/>
      <w:i/>
      <w:sz w:val="18"/>
    </w:rPr>
  </w:style>
  <w:style w:type="character" w:customStyle="1" w:styleId="72">
    <w:name w:val="日期 字符"/>
    <w:link w:val="33"/>
    <w:semiHidden/>
    <w:qFormat/>
    <w:uiPriority w:val="99"/>
    <w:rPr>
      <w:rFonts w:ascii="Times New Roman" w:hAnsi="Times New Roman"/>
      <w:lang w:val="en-GB" w:eastAsia="en-US"/>
    </w:rPr>
  </w:style>
  <w:style w:type="paragraph" w:styleId="73">
    <w:name w:val="List Paragraph"/>
    <w:basedOn w:val="1"/>
    <w:qFormat/>
    <w:uiPriority w:val="34"/>
    <w:pPr>
      <w:ind w:firstLine="420" w:firstLineChars="200"/>
    </w:pPr>
  </w:style>
  <w:style w:type="character" w:customStyle="1" w:styleId="74">
    <w:name w:val="texhtml"/>
    <w:basedOn w:val="46"/>
    <w:qFormat/>
    <w:uiPriority w:val="0"/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TT"/>
    <w:basedOn w:val="2"/>
    <w:next w:val="1"/>
    <w:qFormat/>
    <w:uiPriority w:val="0"/>
    <w:pPr>
      <w:outlineLvl w:val="9"/>
    </w:pPr>
  </w:style>
  <w:style w:type="character" w:customStyle="1" w:styleId="78">
    <w:name w:val="脚注文本 字符"/>
    <w:basedOn w:val="46"/>
    <w:link w:val="37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9">
    <w:name w:val="TF"/>
    <w:basedOn w:val="66"/>
    <w:qFormat/>
    <w:uiPriority w:val="0"/>
    <w:pPr>
      <w:keepNext w:val="0"/>
      <w:spacing w:before="0" w:after="240"/>
    </w:pPr>
  </w:style>
  <w:style w:type="paragraph" w:customStyle="1" w:styleId="80">
    <w:name w:val="NO"/>
    <w:basedOn w:val="1"/>
    <w:qFormat/>
    <w:uiPriority w:val="0"/>
    <w:pPr>
      <w:keepLines/>
      <w:ind w:left="1135" w:hanging="851"/>
    </w:pPr>
  </w:style>
  <w:style w:type="paragraph" w:customStyle="1" w:styleId="81">
    <w:name w:val="EX"/>
    <w:basedOn w:val="1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9">
    <w:name w:val="TAR"/>
    <w:basedOn w:val="59"/>
    <w:qFormat/>
    <w:uiPriority w:val="0"/>
    <w:pPr>
      <w:jc w:val="right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7">
    <w:name w:val="Editor's Note"/>
    <w:basedOn w:val="80"/>
    <w:qFormat/>
    <w:uiPriority w:val="0"/>
    <w:rPr>
      <w:color w:val="FF0000"/>
    </w:rPr>
  </w:style>
  <w:style w:type="paragraph" w:customStyle="1" w:styleId="98">
    <w:name w:val="B1"/>
    <w:basedOn w:val="14"/>
    <w:qFormat/>
    <w:uiPriority w:val="0"/>
  </w:style>
  <w:style w:type="paragraph" w:customStyle="1" w:styleId="99">
    <w:name w:val="B2"/>
    <w:basedOn w:val="13"/>
    <w:qFormat/>
    <w:uiPriority w:val="0"/>
  </w:style>
  <w:style w:type="paragraph" w:customStyle="1" w:styleId="100">
    <w:name w:val="B3"/>
    <w:basedOn w:val="12"/>
    <w:qFormat/>
    <w:uiPriority w:val="0"/>
  </w:style>
  <w:style w:type="paragraph" w:customStyle="1" w:styleId="101">
    <w:name w:val="B4"/>
    <w:basedOn w:val="39"/>
    <w:qFormat/>
    <w:uiPriority w:val="0"/>
  </w:style>
  <w:style w:type="paragraph" w:customStyle="1" w:styleId="102">
    <w:name w:val="B5"/>
    <w:basedOn w:val="38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B1+"/>
    <w:basedOn w:val="98"/>
    <w:qFormat/>
    <w:uiPriority w:val="0"/>
    <w:pPr>
      <w:numPr>
        <w:ilvl w:val="0"/>
        <w:numId w:val="1"/>
      </w:numPr>
    </w:pPr>
  </w:style>
  <w:style w:type="paragraph" w:customStyle="1" w:styleId="105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3</Pages>
  <Words>602</Words>
  <Characters>3434</Characters>
  <Lines>28</Lines>
  <Paragraphs>8</Paragraphs>
  <TotalTime>6</TotalTime>
  <ScaleCrop>false</ScaleCrop>
  <LinksUpToDate>false</LinksUpToDate>
  <CharactersWithSpaces>4028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2023-08-25T07:23:00Z</dcterms:created>
  <dc:creator>Dai Xizeng</dc:creator>
  <cp:lastModifiedBy>ZTE,Fei Xue</cp:lastModifiedBy>
  <dcterms:modified xsi:type="dcterms:W3CDTF">2023-08-25T12:49:34Z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2052-11.8.2.8875</vt:lpwstr>
  </property>
</Properties>
</file>